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AA" w:rsidRDefault="007A512F" w:rsidP="007A512F">
      <w:pPr>
        <w:tabs>
          <w:tab w:val="left" w:pos="1080"/>
          <w:tab w:val="center" w:pos="4959"/>
        </w:tabs>
        <w:spacing w:after="240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340064</wp:posOffset>
            </wp:positionH>
            <wp:positionV relativeFrom="paragraph">
              <wp:posOffset>85725</wp:posOffset>
            </wp:positionV>
            <wp:extent cx="1230630" cy="1209675"/>
            <wp:effectExtent l="19050" t="0" r="7620" b="0"/>
            <wp:wrapNone/>
            <wp:docPr id="4" name="Picture 3" descr="FAC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ab/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ab/>
      </w:r>
      <w:r w:rsidRPr="69F6DF3D"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 </w:t>
      </w:r>
      <w:r w:rsidR="00DA7D87">
        <w:rPr>
          <w:rFonts w:asciiTheme="majorHAnsi" w:eastAsiaTheme="majorEastAsia" w:hAnsiTheme="majorHAnsi" w:cstheme="majorBidi"/>
          <w:b/>
          <w:bCs/>
          <w:sz w:val="32"/>
          <w:szCs w:val="32"/>
        </w:rPr>
        <w:t>Waitangi Exhibition 2024</w:t>
      </w:r>
      <w:r w:rsidRPr="69F6DF3D"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  </w:t>
      </w:r>
      <w:r>
        <w:rPr>
          <w:noProof/>
          <w:lang w:val="en-US" w:eastAsia="en-US"/>
        </w:rPr>
        <w:drawing>
          <wp:anchor distT="114300" distB="114300" distL="114300" distR="114300" simplePos="0" relativeHeight="2516582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133350</wp:posOffset>
            </wp:positionV>
            <wp:extent cx="1004517" cy="1034957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517" cy="1034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57150" distB="57150" distL="57150" distR="57150" simplePos="0" relativeHeight="251659264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133350</wp:posOffset>
            </wp:positionV>
            <wp:extent cx="1073479" cy="1073479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479" cy="1073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58AA" w:rsidRDefault="00DA7D87" w:rsidP="69F6DF3D">
      <w:pPr>
        <w:spacing w:after="240"/>
        <w:jc w:val="center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31 January – 11 February 2024</w:t>
      </w:r>
    </w:p>
    <w:p w:rsidR="009A58AA" w:rsidRDefault="009A58AA" w:rsidP="69F6DF3D">
      <w:pPr>
        <w:spacing w:after="240"/>
        <w:jc w:val="center"/>
        <w:rPr>
          <w:rFonts w:asciiTheme="majorHAnsi" w:eastAsiaTheme="majorEastAsia" w:hAnsiTheme="majorHAnsi" w:cstheme="majorBidi"/>
          <w:b/>
          <w:bCs/>
        </w:rPr>
      </w:pPr>
    </w:p>
    <w:p w:rsidR="009A58AA" w:rsidRDefault="69F6DF3D" w:rsidP="69F6DF3D">
      <w:pPr>
        <w:spacing w:after="240"/>
        <w:jc w:val="center"/>
        <w:rPr>
          <w:rFonts w:asciiTheme="majorHAnsi" w:eastAsiaTheme="majorEastAsia" w:hAnsiTheme="majorHAnsi" w:cstheme="majorBidi"/>
          <w:b/>
          <w:bCs/>
          <w:color w:val="222222"/>
        </w:rPr>
      </w:pPr>
      <w:r w:rsidRPr="69F6DF3D">
        <w:rPr>
          <w:rFonts w:asciiTheme="majorHAnsi" w:eastAsiaTheme="majorEastAsia" w:hAnsiTheme="majorHAnsi" w:cstheme="majorBidi"/>
          <w:b/>
          <w:bCs/>
          <w:sz w:val="32"/>
          <w:szCs w:val="32"/>
        </w:rPr>
        <w:t>Entry Form</w:t>
      </w:r>
    </w:p>
    <w:p w:rsidR="009A58AA" w:rsidRDefault="69F6DF3D" w:rsidP="69F6DF3D">
      <w:pPr>
        <w:shd w:val="clear" w:color="auto" w:fill="FFFFFF" w:themeFill="background1"/>
        <w:spacing w:after="240"/>
        <w:jc w:val="center"/>
        <w:rPr>
          <w:rFonts w:asciiTheme="majorHAnsi" w:eastAsiaTheme="majorEastAsia" w:hAnsiTheme="majorHAnsi" w:cstheme="majorBidi"/>
          <w:color w:val="222222"/>
        </w:rPr>
      </w:pPr>
      <w:r w:rsidRPr="69F6DF3D">
        <w:rPr>
          <w:rFonts w:asciiTheme="majorHAnsi" w:eastAsiaTheme="majorEastAsia" w:hAnsiTheme="majorHAnsi" w:cstheme="majorBidi"/>
          <w:b/>
          <w:bCs/>
          <w:color w:val="222222"/>
        </w:rPr>
        <w:t>THEME:</w:t>
      </w:r>
      <w:r>
        <w:tab/>
      </w:r>
      <w:r w:rsidR="00DA7D87">
        <w:rPr>
          <w:rFonts w:asciiTheme="majorHAnsi" w:eastAsiaTheme="majorEastAsia" w:hAnsiTheme="majorHAnsi" w:cstheme="majorBidi"/>
          <w:color w:val="222222"/>
        </w:rPr>
        <w:t>Draw Close</w:t>
      </w:r>
    </w:p>
    <w:p w:rsidR="00DA7D87" w:rsidRPr="00DA7D87" w:rsidRDefault="69F6DF3D" w:rsidP="00DA7D87">
      <w:pPr>
        <w:pStyle w:val="NoSpacing"/>
        <w:jc w:val="center"/>
        <w:rPr>
          <w:rFonts w:asciiTheme="majorHAnsi" w:eastAsiaTheme="majorEastAsia" w:hAnsiTheme="majorHAnsi" w:cstheme="majorHAnsi"/>
          <w:i/>
          <w:iCs/>
          <w:color w:val="222222"/>
        </w:rPr>
      </w:pPr>
      <w:r w:rsidRPr="69F6DF3D">
        <w:rPr>
          <w:rFonts w:eastAsiaTheme="majorEastAsia" w:cstheme="majorBidi"/>
          <w:b/>
          <w:bCs/>
          <w:color w:val="222222"/>
        </w:rPr>
        <w:t>WHAKTAUKI:</w:t>
      </w:r>
      <w:r w:rsidRPr="69F6DF3D">
        <w:rPr>
          <w:rFonts w:eastAsiaTheme="majorEastAsia" w:cstheme="majorBidi"/>
          <w:color w:val="222222"/>
        </w:rPr>
        <w:t xml:space="preserve"> </w:t>
      </w:r>
      <w:proofErr w:type="spellStart"/>
      <w:r w:rsidR="00DA7D87" w:rsidRPr="00DA7D87">
        <w:rPr>
          <w:rFonts w:asciiTheme="majorHAnsi" w:hAnsiTheme="majorHAnsi" w:cstheme="majorHAnsi"/>
        </w:rPr>
        <w:t>Waiho</w:t>
      </w:r>
      <w:proofErr w:type="spellEnd"/>
      <w:r w:rsidR="00DA7D87" w:rsidRPr="00DA7D87">
        <w:rPr>
          <w:rFonts w:asciiTheme="majorHAnsi" w:hAnsiTheme="majorHAnsi" w:cstheme="majorHAnsi"/>
        </w:rPr>
        <w:t xml:space="preserve"> </w:t>
      </w:r>
      <w:proofErr w:type="spellStart"/>
      <w:r w:rsidR="00DA7D87" w:rsidRPr="00DA7D87">
        <w:rPr>
          <w:rFonts w:asciiTheme="majorHAnsi" w:hAnsiTheme="majorHAnsi" w:cstheme="majorHAnsi"/>
        </w:rPr>
        <w:t>i</w:t>
      </w:r>
      <w:proofErr w:type="spellEnd"/>
      <w:r w:rsidR="00DA7D87" w:rsidRPr="00DA7D87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="00DA7D87" w:rsidRPr="00DA7D87">
        <w:rPr>
          <w:rFonts w:asciiTheme="majorHAnsi" w:hAnsiTheme="majorHAnsi" w:cstheme="majorHAnsi"/>
        </w:rPr>
        <w:t>te</w:t>
      </w:r>
      <w:proofErr w:type="spellEnd"/>
      <w:proofErr w:type="gramEnd"/>
      <w:r w:rsidR="00DA7D87" w:rsidRPr="00DA7D87">
        <w:rPr>
          <w:rFonts w:asciiTheme="majorHAnsi" w:hAnsiTheme="majorHAnsi" w:cstheme="majorHAnsi"/>
        </w:rPr>
        <w:t xml:space="preserve"> </w:t>
      </w:r>
      <w:proofErr w:type="spellStart"/>
      <w:r w:rsidR="00DA7D87" w:rsidRPr="00DA7D87">
        <w:rPr>
          <w:rFonts w:asciiTheme="majorHAnsi" w:hAnsiTheme="majorHAnsi" w:cstheme="majorHAnsi"/>
        </w:rPr>
        <w:t>toipoto</w:t>
      </w:r>
      <w:proofErr w:type="spellEnd"/>
      <w:r w:rsidR="00DA7D87" w:rsidRPr="00DA7D87">
        <w:rPr>
          <w:rFonts w:asciiTheme="majorHAnsi" w:hAnsiTheme="majorHAnsi" w:cstheme="majorHAnsi"/>
        </w:rPr>
        <w:t xml:space="preserve">, </w:t>
      </w:r>
      <w:proofErr w:type="spellStart"/>
      <w:r w:rsidR="00DA7D87" w:rsidRPr="00DA7D87">
        <w:rPr>
          <w:rFonts w:asciiTheme="majorHAnsi" w:hAnsiTheme="majorHAnsi" w:cstheme="majorHAnsi"/>
        </w:rPr>
        <w:t>kaua</w:t>
      </w:r>
      <w:proofErr w:type="spellEnd"/>
      <w:r w:rsidR="00DA7D87" w:rsidRPr="00DA7D87">
        <w:rPr>
          <w:rFonts w:asciiTheme="majorHAnsi" w:hAnsiTheme="majorHAnsi" w:cstheme="majorHAnsi"/>
        </w:rPr>
        <w:t xml:space="preserve"> </w:t>
      </w:r>
      <w:proofErr w:type="spellStart"/>
      <w:r w:rsidR="00DA7D87" w:rsidRPr="00DA7D87">
        <w:rPr>
          <w:rFonts w:asciiTheme="majorHAnsi" w:hAnsiTheme="majorHAnsi" w:cstheme="majorHAnsi"/>
        </w:rPr>
        <w:t>i</w:t>
      </w:r>
      <w:proofErr w:type="spellEnd"/>
      <w:r w:rsidR="00DA7D87" w:rsidRPr="00DA7D87">
        <w:rPr>
          <w:rFonts w:asciiTheme="majorHAnsi" w:hAnsiTheme="majorHAnsi" w:cstheme="majorHAnsi"/>
        </w:rPr>
        <w:t xml:space="preserve"> </w:t>
      </w:r>
      <w:proofErr w:type="spellStart"/>
      <w:r w:rsidR="00DA7D87" w:rsidRPr="00DA7D87">
        <w:rPr>
          <w:rFonts w:asciiTheme="majorHAnsi" w:hAnsiTheme="majorHAnsi" w:cstheme="majorHAnsi"/>
        </w:rPr>
        <w:t>te</w:t>
      </w:r>
      <w:proofErr w:type="spellEnd"/>
      <w:r w:rsidR="00DA7D87" w:rsidRPr="00DA7D87">
        <w:rPr>
          <w:rFonts w:asciiTheme="majorHAnsi" w:hAnsiTheme="majorHAnsi" w:cstheme="majorHAnsi"/>
        </w:rPr>
        <w:t xml:space="preserve"> </w:t>
      </w:r>
      <w:proofErr w:type="spellStart"/>
      <w:r w:rsidR="00DA7D87" w:rsidRPr="00DA7D87">
        <w:rPr>
          <w:rFonts w:asciiTheme="majorHAnsi" w:hAnsiTheme="majorHAnsi" w:cstheme="majorHAnsi"/>
        </w:rPr>
        <w:t>toiroa</w:t>
      </w:r>
      <w:proofErr w:type="spellEnd"/>
      <w:r w:rsidR="00DA7D87" w:rsidRPr="00DA7D87">
        <w:rPr>
          <w:rFonts w:asciiTheme="majorHAnsi" w:hAnsiTheme="majorHAnsi" w:cstheme="majorHAnsi"/>
        </w:rPr>
        <w:t>.</w:t>
      </w:r>
    </w:p>
    <w:p w:rsidR="69F6DF3D" w:rsidRPr="00DA7D87" w:rsidRDefault="00DA7D87" w:rsidP="00DA7D87">
      <w:pPr>
        <w:pStyle w:val="NoSpacing"/>
        <w:jc w:val="center"/>
        <w:rPr>
          <w:rFonts w:asciiTheme="majorHAnsi" w:hAnsiTheme="majorHAnsi" w:cstheme="majorHAnsi"/>
          <w:i/>
          <w:sz w:val="20"/>
          <w:szCs w:val="20"/>
        </w:rPr>
      </w:pPr>
      <w:r w:rsidRPr="00DA7D87">
        <w:rPr>
          <w:rFonts w:asciiTheme="majorHAnsi" w:hAnsiTheme="majorHAnsi" w:cstheme="majorHAnsi"/>
          <w:i/>
          <w:sz w:val="20"/>
          <w:szCs w:val="20"/>
        </w:rPr>
        <w:t>Let us keep close together, not wide apart - The importance of keeping connected, of maintaining relationships and dialogue so that we can keep moving forward together.</w:t>
      </w:r>
    </w:p>
    <w:p w:rsidR="009A58AA" w:rsidRDefault="007A512F" w:rsidP="69F6DF3D">
      <w:pPr>
        <w:shd w:val="clear" w:color="auto" w:fill="FFFFFF" w:themeFill="background1"/>
        <w:spacing w:after="240"/>
        <w:rPr>
          <w:rFonts w:asciiTheme="majorHAnsi" w:eastAsiaTheme="majorEastAsia" w:hAnsiTheme="majorHAnsi" w:cstheme="majorBidi"/>
          <w:sz w:val="20"/>
          <w:szCs w:val="20"/>
        </w:rPr>
      </w:pPr>
      <w:r w:rsidRPr="69F6DF3D">
        <w:rPr>
          <w:rFonts w:asciiTheme="majorHAnsi" w:eastAsiaTheme="majorEastAsia" w:hAnsiTheme="majorHAnsi" w:cstheme="majorBidi"/>
          <w:color w:val="222222"/>
          <w:sz w:val="20"/>
          <w:szCs w:val="20"/>
        </w:rPr>
        <w:t xml:space="preserve">Entry forms and T&amp;Cs are available from the </w:t>
      </w:r>
      <w:proofErr w:type="spellStart"/>
      <w:r w:rsidRPr="69F6DF3D">
        <w:rPr>
          <w:rFonts w:asciiTheme="majorHAnsi" w:eastAsiaTheme="majorEastAsia" w:hAnsiTheme="majorHAnsi" w:cstheme="majorBidi"/>
          <w:color w:val="222222"/>
          <w:sz w:val="20"/>
          <w:szCs w:val="20"/>
        </w:rPr>
        <w:t>Fiordland</w:t>
      </w:r>
      <w:proofErr w:type="spellEnd"/>
      <w:r w:rsidRPr="69F6DF3D">
        <w:rPr>
          <w:rFonts w:asciiTheme="majorHAnsi" w:eastAsiaTheme="majorEastAsia" w:hAnsiTheme="majorHAnsi" w:cstheme="majorBidi"/>
          <w:color w:val="222222"/>
          <w:sz w:val="20"/>
          <w:szCs w:val="20"/>
        </w:rPr>
        <w:t xml:space="preserve"> Arts Hub or online at </w:t>
      </w:r>
      <w:hyperlink r:id="rId8">
        <w:r w:rsidRPr="69F6DF3D">
          <w:rPr>
            <w:rFonts w:asciiTheme="majorHAnsi" w:eastAsiaTheme="majorEastAsia" w:hAnsiTheme="majorHAnsi" w:cstheme="majorBidi"/>
            <w:color w:val="1155CC"/>
            <w:sz w:val="20"/>
            <w:szCs w:val="20"/>
            <w:u w:val="single"/>
          </w:rPr>
          <w:t>teanauwaitangiday.co.nz</w:t>
        </w:r>
      </w:hyperlink>
      <w:r w:rsidR="00DA7D87">
        <w:rPr>
          <w:rFonts w:asciiTheme="majorHAnsi" w:eastAsiaTheme="majorEastAsia" w:hAnsiTheme="majorHAnsi" w:cstheme="majorBidi"/>
          <w:color w:val="222222"/>
          <w:sz w:val="20"/>
          <w:szCs w:val="20"/>
        </w:rPr>
        <w:t xml:space="preserve"> and close 28 January</w:t>
      </w:r>
      <w:r w:rsidRPr="69F6DF3D">
        <w:rPr>
          <w:rFonts w:asciiTheme="majorHAnsi" w:eastAsiaTheme="majorEastAsia" w:hAnsiTheme="majorHAnsi" w:cstheme="majorBidi"/>
          <w:color w:val="222222"/>
          <w:sz w:val="20"/>
          <w:szCs w:val="20"/>
        </w:rPr>
        <w:t>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Submissions close on </w:t>
      </w:r>
      <w:r w:rsidR="00DA7D87">
        <w:rPr>
          <w:rFonts w:asciiTheme="majorHAnsi" w:eastAsiaTheme="majorEastAsia" w:hAnsiTheme="majorHAnsi" w:cstheme="majorBidi"/>
          <w:sz w:val="20"/>
          <w:szCs w:val="20"/>
        </w:rPr>
        <w:t>28 January 2024</w:t>
      </w:r>
      <w:r w:rsidRPr="6252C75A">
        <w:rPr>
          <w:rFonts w:asciiTheme="majorHAnsi" w:eastAsiaTheme="majorEastAsia" w:hAnsiTheme="majorHAnsi" w:cstheme="majorBidi"/>
          <w:sz w:val="20"/>
          <w:szCs w:val="20"/>
        </w:rPr>
        <w:t>. There is no entry fee.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All art must be the sole and original work of the artist (or artists, if a collaboration piece). In the adult category only previously not exhibited work will be accepted.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Artists can work in any media, both 2D and 3D.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The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Fiordland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Arts </w:t>
      </w:r>
      <w:r w:rsidR="00DA7D87">
        <w:rPr>
          <w:rFonts w:asciiTheme="majorHAnsi" w:eastAsiaTheme="majorEastAsia" w:hAnsiTheme="majorHAnsi" w:cstheme="majorBidi"/>
          <w:sz w:val="20"/>
          <w:szCs w:val="20"/>
        </w:rPr>
        <w:t>Charitable Trust</w:t>
      </w: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&amp; Te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Anau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Waitangi Charitable Trust retains full discretion to accept or refuse any art works.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Entries can be dropped off at the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Fiordland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Arts Hub on 23 Main Street, Te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Anau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, during open hours. All submitted art must be supplied with an entry form which can be obtained from the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Fiordland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Arts Hub and the Te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Anau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Waitangi Charitable Trust.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Work may be couriered to: 128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Aparima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Drive, Te 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Anau</w:t>
      </w:r>
      <w:proofErr w:type="spellEnd"/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9600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All framed work artwork must be professionally presented and ready for hanging. Unframed work should preferably be matted or have a background mat/</w:t>
      </w:r>
      <w:proofErr w:type="spellStart"/>
      <w:r w:rsidRPr="6252C75A">
        <w:rPr>
          <w:rFonts w:asciiTheme="majorHAnsi" w:eastAsiaTheme="majorEastAsia" w:hAnsiTheme="majorHAnsi" w:cstheme="majorBidi"/>
          <w:sz w:val="20"/>
          <w:szCs w:val="20"/>
        </w:rPr>
        <w:t>sheet</w:t>
      </w:r>
      <w:r w:rsidR="001D781D">
        <w:rPr>
          <w:rFonts w:asciiTheme="majorHAnsi" w:eastAsiaTheme="majorEastAsia" w:hAnsiTheme="majorHAnsi" w:cstheme="majorBidi"/>
          <w:sz w:val="20"/>
          <w:szCs w:val="20"/>
        </w:rPr>
        <w:t>with</w:t>
      </w:r>
      <w:proofErr w:type="spellEnd"/>
      <w:r w:rsidR="001D781D">
        <w:rPr>
          <w:rFonts w:asciiTheme="majorHAnsi" w:eastAsiaTheme="majorEastAsia" w:hAnsiTheme="majorHAnsi" w:cstheme="majorBidi"/>
          <w:sz w:val="20"/>
          <w:szCs w:val="20"/>
        </w:rPr>
        <w:t xml:space="preserve"> a </w:t>
      </w:r>
      <w:r w:rsidR="00F4016C" w:rsidRPr="00F4016C">
        <w:rPr>
          <w:rFonts w:asciiTheme="majorHAnsi" w:eastAsiaTheme="majorEastAsia" w:hAnsiTheme="majorHAnsi" w:cstheme="majorBidi"/>
          <w:sz w:val="20"/>
          <w:szCs w:val="20"/>
        </w:rPr>
        <w:t xml:space="preserve">suitable </w:t>
      </w:r>
      <w:r w:rsidR="001D781D">
        <w:rPr>
          <w:rFonts w:asciiTheme="majorHAnsi" w:eastAsiaTheme="majorEastAsia" w:hAnsiTheme="majorHAnsi" w:cstheme="majorBidi"/>
          <w:sz w:val="20"/>
          <w:szCs w:val="20"/>
        </w:rPr>
        <w:t xml:space="preserve">method </w:t>
      </w:r>
      <w:r w:rsidR="00B67037">
        <w:rPr>
          <w:rFonts w:asciiTheme="majorHAnsi" w:eastAsiaTheme="majorEastAsia" w:hAnsiTheme="majorHAnsi" w:cstheme="majorBidi"/>
          <w:sz w:val="20"/>
          <w:szCs w:val="20"/>
        </w:rPr>
        <w:t>to</w:t>
      </w:r>
      <w:r w:rsidR="00F4016C" w:rsidRPr="00F4016C">
        <w:rPr>
          <w:rFonts w:asciiTheme="majorHAnsi" w:eastAsiaTheme="majorEastAsia" w:hAnsiTheme="majorHAnsi" w:cstheme="majorBidi"/>
          <w:sz w:val="20"/>
          <w:szCs w:val="20"/>
        </w:rPr>
        <w:t xml:space="preserve"> hang the piece.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Artists exhibit at their own risk.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Art works may be for sale.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Upon completion of the exhibition, the artist will collect art at a prearranged time and place.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>Art works may be photographed and used for promotional purposes.</w:t>
      </w:r>
    </w:p>
    <w:p w:rsidR="009A58AA" w:rsidRDefault="6252C75A" w:rsidP="0067552F">
      <w:pPr>
        <w:pStyle w:val="ListParagraph"/>
        <w:numPr>
          <w:ilvl w:val="0"/>
          <w:numId w:val="1"/>
        </w:numPr>
        <w:spacing w:before="0" w:after="240" w:line="276" w:lineRule="auto"/>
        <w:ind w:left="714" w:right="720" w:hanging="357"/>
        <w:contextualSpacing w:val="0"/>
        <w:rPr>
          <w:rFonts w:asciiTheme="majorHAnsi" w:eastAsiaTheme="majorEastAsia" w:hAnsiTheme="majorHAnsi" w:cstheme="majorBidi"/>
          <w:sz w:val="20"/>
          <w:szCs w:val="20"/>
        </w:rPr>
      </w:pP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For fine print please refer to </w:t>
      </w:r>
      <w:r w:rsidR="007A512F">
        <w:rPr>
          <w:rFonts w:asciiTheme="majorHAnsi" w:eastAsiaTheme="majorEastAsia" w:hAnsiTheme="majorHAnsi" w:cstheme="majorBidi"/>
          <w:sz w:val="20"/>
          <w:szCs w:val="20"/>
        </w:rPr>
        <w:t>the Waitangi 2024</w:t>
      </w:r>
      <w:r w:rsidRPr="6252C75A">
        <w:rPr>
          <w:rFonts w:asciiTheme="majorHAnsi" w:eastAsiaTheme="majorEastAsia" w:hAnsiTheme="majorHAnsi" w:cstheme="majorBidi"/>
          <w:sz w:val="20"/>
          <w:szCs w:val="20"/>
        </w:rPr>
        <w:t xml:space="preserve"> Exhibition Terms and Conditions.</w:t>
      </w:r>
    </w:p>
    <w:p w:rsidR="009A58AA" w:rsidRDefault="009A58AA" w:rsidP="69F6DF3D">
      <w:pPr>
        <w:spacing w:after="240"/>
        <w:rPr>
          <w:rFonts w:asciiTheme="majorHAnsi" w:eastAsiaTheme="majorEastAsia" w:hAnsiTheme="majorHAnsi" w:cstheme="majorBidi"/>
        </w:rPr>
      </w:pPr>
    </w:p>
    <w:p w:rsidR="009A58AA" w:rsidRPr="0067552F" w:rsidRDefault="007A512F" w:rsidP="0067552F">
      <w:pPr>
        <w:shd w:val="clear" w:color="auto" w:fill="FFFFFF" w:themeFill="background1"/>
        <w:spacing w:after="240"/>
        <w:ind w:right="-480"/>
        <w:jc w:val="center"/>
        <w:rPr>
          <w:rFonts w:asciiTheme="majorHAnsi" w:eastAsiaTheme="majorEastAsia" w:hAnsiTheme="majorHAnsi" w:cstheme="majorBidi"/>
          <w:i/>
          <w:iCs/>
        </w:rPr>
      </w:pPr>
      <w:r w:rsidRPr="69F6DF3D">
        <w:rPr>
          <w:rFonts w:asciiTheme="majorHAnsi" w:eastAsiaTheme="majorEastAsia" w:hAnsiTheme="majorHAnsi" w:cstheme="majorBidi"/>
          <w:b/>
          <w:bCs/>
        </w:rPr>
        <w:t>There will be prizes, and a people's choice award - opening night details to come</w:t>
      </w:r>
    </w:p>
    <w:p w:rsidR="009A58AA" w:rsidRDefault="009A58AA" w:rsidP="69F6DF3D">
      <w:pPr>
        <w:keepNext/>
        <w:keepLines/>
        <w:spacing w:after="240"/>
        <w:rPr>
          <w:rFonts w:asciiTheme="majorHAnsi" w:eastAsiaTheme="majorEastAsia" w:hAnsiTheme="majorHAnsi" w:cstheme="majorBidi"/>
          <w:b/>
          <w:bCs/>
        </w:rPr>
      </w:pPr>
    </w:p>
    <w:p w:rsidR="009A58AA" w:rsidRDefault="69F6DF3D" w:rsidP="69F6DF3D">
      <w:pPr>
        <w:keepNext/>
        <w:keepLines/>
        <w:spacing w:after="240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69F6DF3D">
        <w:rPr>
          <w:rFonts w:asciiTheme="majorHAnsi" w:eastAsiaTheme="majorEastAsia" w:hAnsiTheme="majorHAnsi" w:cstheme="majorBidi"/>
          <w:b/>
          <w:bCs/>
        </w:rPr>
        <w:t>Artist details:</w:t>
      </w:r>
    </w:p>
    <w:tbl>
      <w:tblPr>
        <w:tblW w:w="99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623"/>
        <w:gridCol w:w="2623"/>
        <w:gridCol w:w="4669"/>
      </w:tblGrid>
      <w:tr w:rsidR="009A58AA" w:rsidTr="6252C75A">
        <w:trPr>
          <w:trHeight w:val="671"/>
        </w:trPr>
        <w:tc>
          <w:tcPr>
            <w:tcW w:w="262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Name of artist:</w:t>
            </w:r>
          </w:p>
        </w:tc>
        <w:tc>
          <w:tcPr>
            <w:tcW w:w="262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252C75A">
        <w:trPr>
          <w:trHeight w:val="540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Age (if entering an age category):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69F6DF3D" w:rsidTr="6252C75A">
        <w:trPr>
          <w:trHeight w:val="885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9F6DF3D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proofErr w:type="spellStart"/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Iwi</w:t>
            </w:r>
            <w:proofErr w:type="spellEnd"/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/ </w:t>
            </w:r>
            <w:proofErr w:type="spellStart"/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hapu</w:t>
            </w:r>
            <w:proofErr w:type="spellEnd"/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(if any)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9F6DF3D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252C75A">
        <w:trPr>
          <w:trHeight w:val="555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Contact person (school age categories):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252C75A">
        <w:trPr>
          <w:trHeight w:val="806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Address: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252C75A">
        <w:trPr>
          <w:trHeight w:val="825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Email: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252C75A">
        <w:trPr>
          <w:trHeight w:val="465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Phone number: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252C75A">
        <w:trPr>
          <w:trHeight w:val="885"/>
        </w:trPr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Bank account details (if work is for sale)</w:t>
            </w:r>
          </w:p>
        </w:tc>
        <w:tc>
          <w:tcPr>
            <w:tcW w:w="262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52C75A" w:rsidRDefault="6252C75A" w:rsidP="6252C75A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spacing w:before="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</w:tbl>
    <w:p w:rsidR="009A58AA" w:rsidRDefault="009A58AA">
      <w:pPr>
        <w:keepNext/>
        <w:keepLines/>
        <w:rPr>
          <w:sz w:val="20"/>
          <w:szCs w:val="20"/>
        </w:rPr>
      </w:pPr>
    </w:p>
    <w:p w:rsidR="009A58AA" w:rsidRDefault="69F6DF3D" w:rsidP="69F6DF3D">
      <w:pPr>
        <w:keepNext/>
        <w:keepLines/>
        <w:rPr>
          <w:rFonts w:asciiTheme="majorHAnsi" w:eastAsiaTheme="majorEastAsia" w:hAnsiTheme="majorHAnsi" w:cstheme="majorBidi"/>
          <w:b/>
          <w:bCs/>
        </w:rPr>
      </w:pPr>
      <w:r w:rsidRPr="69F6DF3D">
        <w:rPr>
          <w:rFonts w:asciiTheme="majorHAnsi" w:eastAsiaTheme="majorEastAsia" w:hAnsiTheme="majorHAnsi" w:cstheme="majorBidi"/>
          <w:b/>
          <w:bCs/>
        </w:rPr>
        <w:t>Artwork details:</w:t>
      </w:r>
    </w:p>
    <w:p w:rsidR="009A58AA" w:rsidRDefault="009A58AA">
      <w:pPr>
        <w:keepNext/>
        <w:keepLines/>
        <w:rPr>
          <w:sz w:val="20"/>
          <w:szCs w:val="20"/>
        </w:rPr>
      </w:pPr>
    </w:p>
    <w:tbl>
      <w:tblPr>
        <w:tblStyle w:val="a0"/>
        <w:tblW w:w="100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820"/>
        <w:gridCol w:w="7200"/>
      </w:tblGrid>
      <w:tr w:rsidR="009A58AA" w:rsidTr="69F6DF3D">
        <w:trPr>
          <w:trHeight w:val="485"/>
        </w:trPr>
        <w:tc>
          <w:tcPr>
            <w:tcW w:w="2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Artwork no. 1</w:t>
            </w:r>
          </w:p>
        </w:tc>
        <w:tc>
          <w:tcPr>
            <w:tcW w:w="720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555"/>
        </w:trPr>
        <w:tc>
          <w:tcPr>
            <w:tcW w:w="282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Title</w:t>
            </w: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540"/>
        </w:trPr>
        <w:tc>
          <w:tcPr>
            <w:tcW w:w="282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Media</w:t>
            </w: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380"/>
        </w:trPr>
        <w:tc>
          <w:tcPr>
            <w:tcW w:w="282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Price/Not for sale (NFS)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2010"/>
        </w:trPr>
        <w:tc>
          <w:tcPr>
            <w:tcW w:w="282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Any information relevant to the art work or artist</w:t>
            </w: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</w:tbl>
    <w:p w:rsidR="009A58AA" w:rsidRDefault="009A58AA">
      <w:pPr>
        <w:keepNext/>
        <w:keepLines/>
        <w:rPr>
          <w:sz w:val="20"/>
          <w:szCs w:val="20"/>
        </w:rPr>
      </w:pPr>
    </w:p>
    <w:tbl>
      <w:tblPr>
        <w:tblStyle w:val="a1"/>
        <w:tblW w:w="10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835"/>
        <w:gridCol w:w="7275"/>
      </w:tblGrid>
      <w:tr w:rsidR="009A58AA" w:rsidTr="69F6DF3D">
        <w:trPr>
          <w:trHeight w:val="485"/>
        </w:trPr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Art work no. 2</w:t>
            </w:r>
          </w:p>
        </w:tc>
        <w:tc>
          <w:tcPr>
            <w:tcW w:w="727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585"/>
        </w:trPr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Title</w:t>
            </w: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485"/>
        </w:trPr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Media</w:t>
            </w: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485"/>
        </w:trPr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Price/Not for sale (NFS)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1740"/>
        </w:trPr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Any information relevant to the art work or artist</w:t>
            </w: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</w:tbl>
    <w:p w:rsidR="009A58AA" w:rsidRDefault="009A58AA">
      <w:pPr>
        <w:keepNext/>
        <w:keepLines/>
        <w:rPr>
          <w:sz w:val="20"/>
          <w:szCs w:val="20"/>
        </w:rPr>
      </w:pPr>
    </w:p>
    <w:tbl>
      <w:tblPr>
        <w:tblStyle w:val="a2"/>
        <w:tblW w:w="102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730"/>
        <w:gridCol w:w="7470"/>
      </w:tblGrid>
      <w:tr w:rsidR="009A58AA" w:rsidTr="69F6DF3D">
        <w:trPr>
          <w:trHeight w:val="660"/>
        </w:trPr>
        <w:tc>
          <w:tcPr>
            <w:tcW w:w="2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Art work no. 3</w:t>
            </w:r>
          </w:p>
        </w:tc>
        <w:tc>
          <w:tcPr>
            <w:tcW w:w="74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862"/>
        </w:trPr>
        <w:tc>
          <w:tcPr>
            <w:tcW w:w="27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lastRenderedPageBreak/>
              <w:t>Title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862"/>
        </w:trPr>
        <w:tc>
          <w:tcPr>
            <w:tcW w:w="27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Media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671"/>
        </w:trPr>
        <w:tc>
          <w:tcPr>
            <w:tcW w:w="27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Price/Not for sale (NFS)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  <w:tr w:rsidR="009A58AA" w:rsidTr="69F6DF3D">
        <w:trPr>
          <w:trHeight w:val="2040"/>
        </w:trPr>
        <w:tc>
          <w:tcPr>
            <w:tcW w:w="27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69F6DF3D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9F6DF3D">
              <w:rPr>
                <w:rFonts w:asciiTheme="majorHAnsi" w:eastAsiaTheme="majorEastAsia" w:hAnsiTheme="majorHAnsi" w:cstheme="majorBidi"/>
                <w:sz w:val="20"/>
                <w:szCs w:val="20"/>
              </w:rPr>
              <w:t>Any information relevant to the art work or artist</w:t>
            </w: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  <w:tc>
          <w:tcPr>
            <w:tcW w:w="747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:rsidR="009A58AA" w:rsidRDefault="009A58AA" w:rsidP="69F6DF3D">
            <w:pPr>
              <w:keepNext/>
              <w:keepLines/>
              <w:spacing w:before="10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</w:tc>
      </w:tr>
    </w:tbl>
    <w:p w:rsidR="009A58AA" w:rsidRDefault="007A512F" w:rsidP="69F6DF3D">
      <w:pPr>
        <w:spacing w:after="240"/>
        <w:rPr>
          <w:rFonts w:asciiTheme="majorHAnsi" w:eastAsiaTheme="majorEastAsia" w:hAnsiTheme="majorHAnsi" w:cstheme="majorBidi"/>
        </w:rPr>
      </w:pPr>
      <w:r w:rsidRPr="69F6DF3D">
        <w:rPr>
          <w:rFonts w:asciiTheme="majorHAnsi" w:eastAsiaTheme="majorEastAsia" w:hAnsiTheme="majorHAnsi" w:cstheme="majorBidi"/>
        </w:rPr>
        <w:t xml:space="preserve">If the artist would like to enter more than three works, please contact the organisers at </w:t>
      </w:r>
      <w:hyperlink r:id="rId9">
        <w:r w:rsidRPr="69F6DF3D">
          <w:rPr>
            <w:rFonts w:asciiTheme="majorHAnsi" w:eastAsiaTheme="majorEastAsia" w:hAnsiTheme="majorHAnsi" w:cstheme="majorBidi"/>
            <w:color w:val="1155CC"/>
            <w:u w:val="single"/>
          </w:rPr>
          <w:t>info@teanauwaitangiday.co.nz</w:t>
        </w:r>
      </w:hyperlink>
      <w:r w:rsidRPr="69F6DF3D">
        <w:rPr>
          <w:rFonts w:asciiTheme="majorHAnsi" w:eastAsiaTheme="majorEastAsia" w:hAnsiTheme="majorHAnsi" w:cstheme="majorBidi"/>
        </w:rPr>
        <w:t xml:space="preserve"> or fiordlandartshub@gmail.com</w:t>
      </w:r>
    </w:p>
    <w:sectPr w:rsidR="009A58AA" w:rsidSect="00C23B4D">
      <w:pgSz w:w="11909" w:h="16834"/>
      <w:pgMar w:top="1440" w:right="998" w:bottom="1440" w:left="99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B87A"/>
    <w:multiLevelType w:val="hybridMultilevel"/>
    <w:tmpl w:val="AC887E98"/>
    <w:lvl w:ilvl="0" w:tplc="EBDCF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4F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36A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2C2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ECA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8014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E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40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20D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43E8B"/>
    <w:multiLevelType w:val="hybridMultilevel"/>
    <w:tmpl w:val="78945A22"/>
    <w:lvl w:ilvl="0" w:tplc="23D63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E5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40F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071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02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E03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48D2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AAB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32F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69F6DF3D"/>
    <w:rsid w:val="001D781D"/>
    <w:rsid w:val="0067552F"/>
    <w:rsid w:val="007A512F"/>
    <w:rsid w:val="009A58AA"/>
    <w:rsid w:val="00B67037"/>
    <w:rsid w:val="00C23B4D"/>
    <w:rsid w:val="00DA7D87"/>
    <w:rsid w:val="00F4016C"/>
    <w:rsid w:val="6252C75A"/>
    <w:rsid w:val="69F6D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en-GB" w:eastAsia="en-NZ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B4D"/>
  </w:style>
  <w:style w:type="paragraph" w:styleId="Heading1">
    <w:name w:val="heading 1"/>
    <w:basedOn w:val="Normal"/>
    <w:next w:val="Normal"/>
    <w:uiPriority w:val="9"/>
    <w:qFormat/>
    <w:rsid w:val="00C23B4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C23B4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23B4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23B4D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23B4D"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23B4D"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C23B4D"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C23B4D"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"/>
    <w:rsid w:val="00C23B4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23B4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C23B4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C23B4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23B4D"/>
    <w:pPr>
      <w:ind w:left="720"/>
      <w:contextualSpacing/>
    </w:pPr>
  </w:style>
  <w:style w:type="paragraph" w:styleId="NoSpacing">
    <w:name w:val="No Spacing"/>
    <w:uiPriority w:val="1"/>
    <w:qFormat/>
    <w:rsid w:val="00DA7D87"/>
    <w:pPr>
      <w:spacing w:befor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12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anauwaitangiday.co.n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teanauwaitangiday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Arts Hub Coordinator</cp:lastModifiedBy>
  <cp:revision>6</cp:revision>
  <dcterms:created xsi:type="dcterms:W3CDTF">2023-06-06T23:56:00Z</dcterms:created>
  <dcterms:modified xsi:type="dcterms:W3CDTF">2024-01-04T07:25:00Z</dcterms:modified>
</cp:coreProperties>
</file>